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本溪市人力资源和社会保障局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2020年度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政府信息公开工作年度报告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一、总体情况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年，我局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严格落实政府信息公开各项工作制度，</w:t>
      </w:r>
      <w:r>
        <w:rPr>
          <w:rFonts w:hint="eastAsia" w:ascii="仿宋_GB2312" w:eastAsia="仿宋_GB2312"/>
          <w:sz w:val="32"/>
          <w:szCs w:val="32"/>
        </w:rPr>
        <w:t>按照《本溪市人力资源和社会保障局政府信息公开实施办法》（以下简称《实施办法》），</w:t>
      </w:r>
      <w:r>
        <w:rPr>
          <w:rFonts w:hint="eastAsia" w:ascii="仿宋_GB2312" w:hAnsi="宋体" w:eastAsia="仿宋_GB2312"/>
          <w:sz w:val="32"/>
          <w:szCs w:val="32"/>
        </w:rPr>
        <w:t>编制并</w:t>
      </w:r>
      <w:r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  <w:t>即时更新《政府信息公开指南》和《政府信息公开目录》，</w:t>
      </w:r>
      <w:r>
        <w:rPr>
          <w:rFonts w:hint="eastAsia" w:ascii="仿宋_GB2312" w:eastAsia="仿宋_GB2312"/>
          <w:sz w:val="32"/>
          <w:szCs w:val="32"/>
        </w:rPr>
        <w:t>对涉及到人力资源和社会保障工作政策法规</w:t>
      </w:r>
      <w:r>
        <w:rPr>
          <w:rFonts w:hint="eastAsia" w:ascii="仿宋_GB2312" w:hAnsi="宋体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办事程序</w:t>
      </w:r>
      <w:r>
        <w:rPr>
          <w:rFonts w:hint="eastAsia" w:ascii="仿宋_GB2312" w:hAnsi="宋体" w:eastAsia="仿宋_GB2312"/>
          <w:sz w:val="32"/>
          <w:szCs w:val="32"/>
        </w:rPr>
        <w:t>等情况，</w:t>
      </w:r>
      <w:r>
        <w:rPr>
          <w:rFonts w:hint="eastAsia" w:ascii="仿宋_GB2312" w:eastAsia="仿宋_GB2312"/>
          <w:sz w:val="32"/>
          <w:szCs w:val="32"/>
        </w:rPr>
        <w:t>一律予以公开。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二、主动公开政府信息情况</w:t>
      </w:r>
    </w:p>
    <w:tbl>
      <w:tblPr>
        <w:tblW w:w="8682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48"/>
        <w:gridCol w:w="1983"/>
        <w:gridCol w:w="1916"/>
        <w:gridCol w:w="2035"/>
      </w:tblGrid>
      <w:tr>
        <w:trPr>
          <w:trHeight w:val="510" w:hRule="atLeast"/>
          <w:jc w:val="center"/>
        </w:trPr>
        <w:tc>
          <w:tcPr>
            <w:tcW w:w="8682" w:type="dxa"/>
            <w:gridSpan w:val="4"/>
            <w:tcBorders>
              <w:top w:val="single" w:color="7BA0CD" w:sz="8" w:space="0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第二十条第（一）项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98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本年新制作数量</w:t>
            </w:r>
          </w:p>
        </w:tc>
        <w:tc>
          <w:tcPr>
            <w:tcW w:w="1916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本年新公开数量</w:t>
            </w:r>
          </w:p>
        </w:tc>
        <w:tc>
          <w:tcPr>
            <w:tcW w:w="2035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对外公开总数量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规章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规范性文件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48</w:t>
            </w:r>
          </w:p>
        </w:tc>
      </w:tr>
      <w:tr>
        <w:trPr>
          <w:trHeight w:val="510" w:hRule="atLeast"/>
          <w:jc w:val="center"/>
        </w:trPr>
        <w:tc>
          <w:tcPr>
            <w:tcW w:w="8682" w:type="dxa"/>
            <w:gridSpan w:val="4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第二十条第（五）项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98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1916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2035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行政许可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其他对外管理服务事项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736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-125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>
            <w:pPr>
              <w:widowControl/>
              <w:spacing w:before="100" w:beforeAutospacing="1" w:after="180" w:line="48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611</w:t>
            </w:r>
          </w:p>
        </w:tc>
      </w:tr>
      <w:tr>
        <w:trPr>
          <w:trHeight w:val="510" w:hRule="atLeast"/>
          <w:jc w:val="center"/>
        </w:trPr>
        <w:tc>
          <w:tcPr>
            <w:tcW w:w="8682" w:type="dxa"/>
            <w:gridSpan w:val="4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第二十条第（六）项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98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1916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  <w:tc>
          <w:tcPr>
            <w:tcW w:w="2035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处理决定数量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行政处罚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行政强制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5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510" w:hRule="atLeast"/>
          <w:jc w:val="center"/>
        </w:trPr>
        <w:tc>
          <w:tcPr>
            <w:tcW w:w="8682" w:type="dxa"/>
            <w:gridSpan w:val="4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第二十条第（八）项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98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上一年项目数量</w:t>
            </w:r>
          </w:p>
        </w:tc>
        <w:tc>
          <w:tcPr>
            <w:tcW w:w="3951" w:type="dxa"/>
            <w:gridSpan w:val="2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本年增/减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行政事业性收费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rPr>
          <w:trHeight w:val="510" w:hRule="atLeast"/>
          <w:jc w:val="center"/>
        </w:trPr>
        <w:tc>
          <w:tcPr>
            <w:tcW w:w="8682" w:type="dxa"/>
            <w:gridSpan w:val="4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第二十条第（九）项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信息内容</w:t>
            </w:r>
          </w:p>
        </w:tc>
        <w:tc>
          <w:tcPr>
            <w:tcW w:w="1983" w:type="dxa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采购项目数量</w:t>
            </w:r>
          </w:p>
        </w:tc>
        <w:tc>
          <w:tcPr>
            <w:tcW w:w="3951" w:type="dxa"/>
            <w:gridSpan w:val="2"/>
            <w:tcBorders>
              <w:top w:val="single" w:color="7BA0CD" w:sz="8" w:space="0"/>
              <w:left w:val="nil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采购总金额</w:t>
            </w:r>
          </w:p>
        </w:tc>
      </w:tr>
      <w:tr>
        <w:trPr>
          <w:trHeight w:val="510" w:hRule="atLeast"/>
          <w:jc w:val="center"/>
        </w:trPr>
        <w:tc>
          <w:tcPr>
            <w:tcW w:w="2748" w:type="dxa"/>
            <w:tcBorders>
              <w:top w:val="nil"/>
              <w:left w:val="single" w:color="7BA0CD" w:sz="8" w:space="0"/>
              <w:bottom w:val="single" w:color="7BA0CD" w:sz="8" w:space="0"/>
              <w:right w:val="single" w:color="7BA0C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政府集中采购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7BA0CD" w:sz="8" w:space="0"/>
              <w:right w:val="single" w:color="7BA0C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80" w:line="480" w:lineRule="auto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>148947</w:t>
            </w:r>
          </w:p>
        </w:tc>
      </w:tr>
    </w:tbl>
    <w:p>
      <w:pPr>
        <w:ind w:firstLine="643" w:firstLineChars="200"/>
        <w:rPr>
          <w:rFonts w:ascii="黑体" w:hAnsi="黑体" w:eastAsia="黑体" w:cs="Times New Roman"/>
          <w:b/>
          <w:bCs/>
          <w:color w:val="333333"/>
          <w:kern w:val="0"/>
          <w:sz w:val="32"/>
          <w:szCs w:val="32"/>
        </w:rPr>
      </w:pPr>
      <w:bookmarkStart w:id="0" w:name="_GoBack"/>
      <w:bookmarkEnd w:id="0"/>
    </w:p>
    <w:p>
      <w:pPr>
        <w:ind w:firstLine="643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W w:w="913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8"/>
        <w:gridCol w:w="834"/>
        <w:gridCol w:w="3117"/>
        <w:gridCol w:w="645"/>
        <w:gridCol w:w="598"/>
        <w:gridCol w:w="627"/>
        <w:gridCol w:w="642"/>
        <w:gridCol w:w="655"/>
        <w:gridCol w:w="569"/>
        <w:gridCol w:w="750"/>
      </w:tblGrid>
      <w:tr>
        <w:trPr>
          <w:trHeight w:val="454" w:hRule="atLeast"/>
          <w:jc w:val="center"/>
        </w:trPr>
        <w:tc>
          <w:tcPr>
            <w:tcW w:w="4649" w:type="dxa"/>
            <w:gridSpan w:val="3"/>
            <w:vMerge w:val="restar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Calibri" w:hAnsi="Calibri" w:eastAsia="宋体" w:cs="Calibri"/>
                <w:b/>
                <w:color w:val="FFFFFF"/>
                <w:spacing w:val="-2"/>
                <w:kern w:val="0"/>
                <w:sz w:val="24"/>
                <w:szCs w:val="24"/>
                <w:lang w:val="en-US" w:eastAsia="zh-CN"/>
              </w:rPr>
              <w:t>本列数据的勾稽关系为：第一项加第二项之和，等于第三项加第四项之和）</w:t>
            </w:r>
          </w:p>
        </w:tc>
        <w:tc>
          <w:tcPr>
            <w:tcW w:w="4486" w:type="dxa"/>
            <w:gridSpan w:val="7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申请人情况</w:t>
            </w:r>
          </w:p>
        </w:tc>
      </w:tr>
      <w:tr>
        <w:trPr>
          <w:trHeight w:val="454" w:hRule="atLeast"/>
          <w:jc w:val="center"/>
        </w:trPr>
        <w:tc>
          <w:tcPr>
            <w:tcW w:w="4649" w:type="dxa"/>
            <w:gridSpan w:val="3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自然人</w:t>
            </w:r>
          </w:p>
        </w:tc>
        <w:tc>
          <w:tcPr>
            <w:tcW w:w="3091" w:type="dxa"/>
            <w:gridSpan w:val="5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法人或其他组织</w:t>
            </w:r>
          </w:p>
        </w:tc>
        <w:tc>
          <w:tcPr>
            <w:tcW w:w="750" w:type="dxa"/>
            <w:vMerge w:val="restart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rPr>
          <w:trHeight w:val="454" w:hRule="atLeast"/>
          <w:jc w:val="center"/>
        </w:trPr>
        <w:tc>
          <w:tcPr>
            <w:tcW w:w="4649" w:type="dxa"/>
            <w:gridSpan w:val="3"/>
            <w:vMerge w:val="continue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商业企业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科研机构</w:t>
            </w:r>
          </w:p>
        </w:tc>
        <w:tc>
          <w:tcPr>
            <w:tcW w:w="642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社会公益组织</w:t>
            </w:r>
          </w:p>
        </w:tc>
        <w:tc>
          <w:tcPr>
            <w:tcW w:w="655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法律服务机构</w:t>
            </w:r>
          </w:p>
        </w:tc>
        <w:tc>
          <w:tcPr>
            <w:tcW w:w="569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750" w:type="dxa"/>
            <w:vMerge w:val="continue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4649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本年新收政府信息公开申请数量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454" w:hRule="atLeast"/>
          <w:jc w:val="center"/>
        </w:trPr>
        <w:tc>
          <w:tcPr>
            <w:tcW w:w="4649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二、上年结转政府信息公开申请数量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restart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三、本年度办理结果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（一）予以公开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spacing w:val="-8"/>
                <w:kern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不予公开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属于国家秘密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1059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其他法律行政法规禁止公开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危及“三安全一稳定”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保护第三方合法权益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属于三类内部事务信息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属于四类过程性信息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属于行政执法案卷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属于行政查询事项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（四）无法提供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本机关不掌握相关政府信息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没有现成信息需要另行制作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补正后申请内容仍不明确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（五）不予处理</w:t>
            </w: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信访举报投诉类申请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重复申请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要求提供公开出版物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无正当理由大量反复申请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要求行政机关确认或重新出具已获取信息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（六）其他处理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  <w:tr>
        <w:trPr>
          <w:trHeight w:val="454" w:hRule="atLeast"/>
          <w:jc w:val="center"/>
        </w:trPr>
        <w:tc>
          <w:tcPr>
            <w:tcW w:w="698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（七）总计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454" w:hRule="atLeast"/>
          <w:jc w:val="center"/>
        </w:trPr>
        <w:tc>
          <w:tcPr>
            <w:tcW w:w="4649" w:type="dxa"/>
            <w:gridSpan w:val="3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四、结转下年度继续办理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widowControl/>
        <w:numPr>
          <w:ilvl w:val="0"/>
          <w:numId w:val="2"/>
        </w:numPr>
        <w:spacing w:line="432" w:lineRule="auto"/>
        <w:ind w:firstLine="480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政府信息公开行政复议、行政诉讼情况</w:t>
      </w:r>
    </w:p>
    <w:tbl>
      <w:tblPr>
        <w:tblW w:w="842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2"/>
        <w:gridCol w:w="562"/>
        <w:gridCol w:w="562"/>
        <w:gridCol w:w="562"/>
        <w:gridCol w:w="562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>
        <w:trPr>
          <w:trHeight w:val="593" w:hRule="atLeast"/>
          <w:jc w:val="center"/>
        </w:trPr>
        <w:tc>
          <w:tcPr>
            <w:tcW w:w="2810" w:type="dxa"/>
            <w:gridSpan w:val="5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行政复议</w:t>
            </w:r>
          </w:p>
        </w:tc>
        <w:tc>
          <w:tcPr>
            <w:tcW w:w="5610" w:type="dxa"/>
            <w:gridSpan w:val="10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color w:val="FFFFFF"/>
                <w:kern w:val="0"/>
                <w:sz w:val="24"/>
                <w:szCs w:val="24"/>
                <w:lang w:val="en-US" w:eastAsia="zh-CN"/>
              </w:rPr>
              <w:t>行政诉讼</w:t>
            </w:r>
          </w:p>
        </w:tc>
      </w:tr>
      <w:tr>
        <w:trPr>
          <w:trHeight w:val="643" w:hRule="atLeast"/>
          <w:jc w:val="center"/>
        </w:trPr>
        <w:tc>
          <w:tcPr>
            <w:tcW w:w="562" w:type="dxa"/>
            <w:vMerge w:val="restart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62" w:type="dxa"/>
            <w:vMerge w:val="restart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62" w:type="dxa"/>
            <w:vMerge w:val="restart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62" w:type="dxa"/>
            <w:vMerge w:val="restart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62" w:type="dxa"/>
            <w:vMerge w:val="restart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未经复议直接起诉</w:t>
            </w:r>
          </w:p>
        </w:tc>
        <w:tc>
          <w:tcPr>
            <w:tcW w:w="2805" w:type="dxa"/>
            <w:gridSpan w:val="5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/>
                <w:kern w:val="0"/>
                <w:sz w:val="24"/>
                <w:szCs w:val="24"/>
                <w:lang w:val="en-US" w:eastAsia="zh-CN"/>
              </w:rPr>
              <w:t>复议后起诉</w:t>
            </w:r>
          </w:p>
        </w:tc>
      </w:tr>
      <w:tr>
        <w:trPr>
          <w:trHeight w:val="1694" w:hRule="atLeast"/>
          <w:jc w:val="center"/>
        </w:trPr>
        <w:tc>
          <w:tcPr>
            <w:tcW w:w="562" w:type="dxa"/>
            <w:vMerge w:val="continue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2" w:type="dxa"/>
            <w:vMerge w:val="continue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结果维持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结果纠正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其他结果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尚未审结</w:t>
            </w:r>
          </w:p>
        </w:tc>
        <w:tc>
          <w:tcPr>
            <w:tcW w:w="561" w:type="dxa"/>
            <w:tcBorders>
              <w:top w:val="single" w:color="4F81BD" w:sz="8" w:space="0"/>
              <w:left w:val="nil"/>
              <w:bottom w:val="single" w:color="4F81BD" w:sz="8" w:space="0"/>
              <w:right w:val="single" w:color="4F81BD" w:sz="8" w:space="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23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总计</w:t>
            </w:r>
          </w:p>
        </w:tc>
      </w:tr>
      <w:tr>
        <w:trPr>
          <w:trHeight w:val="924" w:hRule="atLeast"/>
          <w:jc w:val="center"/>
        </w:trPr>
        <w:tc>
          <w:tcPr>
            <w:tcW w:w="562" w:type="dxa"/>
            <w:tcBorders>
              <w:top w:val="nil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color="4F81BD" w:sz="8" w:space="0"/>
              <w:right w:val="single" w:color="4F81B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40" w:beforeAutospacing="0" w:after="240" w:afterAutospacing="0" w:line="432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uto"/>
        <w:jc w:val="both"/>
        <w:rPr>
          <w:rFonts w:ascii="Times New Roman" w:hAnsi="Times New Roman" w:eastAsia="宋体" w:cs="Times New Roman"/>
          <w:color w:val="333333"/>
          <w:kern w:val="0"/>
          <w:sz w:val="32"/>
          <w:szCs w:val="32"/>
        </w:rPr>
      </w:pPr>
    </w:p>
    <w:p>
      <w:pPr>
        <w:widowControl/>
        <w:spacing w:line="432" w:lineRule="auto"/>
        <w:ind w:firstLine="480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pacing w:line="432" w:lineRule="auto"/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，我局积极推进政府信息公开工作，通过信息公开，保障了公民对人力资源和社会保障工作的知情权、参与权、表达权、监督权，促进了依法行政。但按照国家和省政府有关政府信息公开工作的要求，还存在一些不足，如信息公开发布量不多和不够及时、工作机制不够完善等，需要在今后工作中加以改进。</w:t>
      </w:r>
    </w:p>
    <w:p>
      <w:pPr>
        <w:widowControl/>
        <w:spacing w:line="432" w:lineRule="auto"/>
        <w:ind w:firstLine="480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  <w:r>
        <w:rPr>
          <w:rFonts w:ascii="黑体" w:hAnsi="黑体" w:eastAsia="黑体" w:cs="Times New Roman"/>
          <w:color w:val="333333"/>
          <w:kern w:val="0"/>
          <w:sz w:val="32"/>
          <w:szCs w:val="32"/>
        </w:rPr>
        <w:t>六、其他需要报告的事项</w:t>
      </w:r>
    </w:p>
    <w:p>
      <w:pPr>
        <w:widowControl/>
        <w:spacing w:line="432" w:lineRule="auto"/>
        <w:ind w:firstLine="48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暂无其他应报告的事项。</w:t>
      </w:r>
    </w:p>
    <w:p>
      <w:pPr>
        <w:widowControl/>
        <w:spacing w:line="432" w:lineRule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widowControl/>
        <w:spacing w:line="432" w:lineRule="auto"/>
        <w:ind w:firstLine="48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本溪市人力资源和社会保障局</w:t>
      </w:r>
    </w:p>
    <w:p>
      <w:pPr>
        <w:widowControl/>
        <w:spacing w:line="432" w:lineRule="auto"/>
        <w:ind w:firstLine="48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2021年1月21日</w:t>
      </w:r>
    </w:p>
    <w:p>
      <w:pPr>
        <w:widowControl/>
        <w:spacing w:line="432" w:lineRule="auto"/>
        <w:ind w:firstLine="480"/>
        <w:rPr>
          <w:rFonts w:ascii="黑体" w:hAnsi="黑体" w:eastAsia="黑体" w:cs="Times New Roman"/>
          <w:color w:val="333333"/>
          <w:kern w:val="0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">
    <w:altName w:val="楷体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 Math">
    <w:altName w:val="Palatino Linotype"/>
    <w:panose1 w:val="02040503050406030204"/>
    <w:charset w:val="00"/>
    <w:family w:val="auto"/>
    <w:pitch w:val="default"/>
    <w:sig w:usb0="E00002FF" w:usb1="420024FF" w:usb2="00000000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-</w:t>
    </w:r>
    <w:r>
      <w:rPr>
        <w:rFonts w:ascii="Times New Roman" w:hAnsi="Times New Roman" w:cs="Times New Roman"/>
        <w:sz w:val="24"/>
        <w:szCs w:val="24"/>
      </w:rPr>
      <w:fldChar w:fldCharType="begin"/>
    </w:r>
    <w:r>
      <w:rPr>
        <w:rFonts w:ascii="Times New Roman" w:hAnsi="Times New Roman" w:cs="Times New Roman"/>
        <w:sz w:val="24"/>
        <w:szCs w:val="24"/>
      </w:rPr>
      <w:instrText xml:space="preserve">PAGE   \* MERGEFORMAT</w:instrText>
    </w:r>
    <w:r>
      <w:rPr>
        <w:rFonts w:ascii="Times New Roman" w:hAnsi="Times New Roman" w:cs="Times New Roman"/>
        <w:sz w:val="24"/>
        <w:szCs w:val="24"/>
      </w:rPr>
      <w:fldChar w:fldCharType="separate"/>
    </w:r>
    <w:r>
      <w:t>1</w:t>
    </w:r>
    <w:r>
      <w:rPr>
        <w:rFonts w:ascii="Times New Roman" w:hAnsi="Times New Roman" w:cs="Times New Roman"/>
        <w:sz w:val="24"/>
        <w:szCs w:val="24"/>
      </w:rPr>
      <w:fldChar w:fldCharType="end"/>
    </w:r>
    <w:r>
      <w:rPr>
        <w:rFonts w:ascii="Times New Roman" w:hAnsi="Times New Roman" w:cs="Times New Roman"/>
        <w:sz w:val="24"/>
        <w:szCs w:val="24"/>
      </w:rPr>
      <w:t>-</w: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849798990">
    <w:nsid w:val="E577454E"/>
    <w:multiLevelType w:val="singleLevel"/>
    <w:tmpl w:val="E577454E"/>
    <w:lvl w:ilvl="0" w:tentative="1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909826062">
    <w:nsid w:val="71D5A20E"/>
    <w:multiLevelType w:val="singleLevel"/>
    <w:tmpl w:val="71D5A20E"/>
    <w:lvl w:ilvl="0" w:tentative="1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849798990"/>
  </w:num>
  <w:num w:numId="2">
    <w:abstractNumId w:val="19098260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字符"/>
    <w:basedOn w:val="4"/>
    <w:link w:val="3"/>
    <w:uiPriority w:val="99"/>
    <w:rPr>
      <w:sz w:val="18"/>
      <w:szCs w:val="18"/>
    </w:rPr>
  </w:style>
  <w:style w:type="character" w:customStyle="1" w:styleId="6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Pages>15</Pages>
  <Words>895</Words>
  <Characters>5106</Characters>
  <Lines>42</Lines>
  <Paragraphs>11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2019-11-27T07:03:00Z</dcterms:created>
  <dc:creator>zhanggang</dc:creator>
  <cp:lastModifiedBy>fgc-mrx</cp:lastModifiedBy>
  <cp:lastPrinted>2021-02-01T07:15:30Z</cp:lastPrinted>
  <dcterms:modified xsi:type="dcterms:W3CDTF">2021-02-01T07:23:07Z</dcterms:modified>
  <dc:title>本溪市人力资源和社会保障局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